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pStyle w:val="2"/>
        <w:bidi w:val="0"/>
        <w:rPr>
          <w:rFonts w:hint="eastAsia"/>
          <w:lang w:val="en-US" w:eastAsia="zh-CN"/>
        </w:rPr>
      </w:pPr>
      <w:r>
        <w:rPr>
          <w:rFonts w:hint="eastAsia"/>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keepNext w:val="0"/>
              <w:keepLines w:val="0"/>
              <w:widowControl/>
              <w:suppressLineNumbers w:val="0"/>
              <w:jc w:val="left"/>
              <w:rPr>
                <w:rFonts w:hint="eastAsia" w:ascii="仿宋" w:hAnsi="仿宋" w:eastAsia="仿宋" w:cs="仿宋"/>
                <w:color w:val="000000"/>
                <w:sz w:val="21"/>
                <w:szCs w:val="15"/>
              </w:rPr>
            </w:pPr>
            <w:r>
              <w:rPr>
                <w:rFonts w:hint="eastAsia" w:ascii="仿宋" w:hAnsi="仿宋" w:eastAsia="仿宋" w:cs="仿宋"/>
                <w:bCs w:val="0"/>
                <w:color w:val="000000"/>
                <w:sz w:val="21"/>
                <w:szCs w:val="15"/>
                <w:lang w:val="en-US" w:eastAsia="zh-CN"/>
              </w:rPr>
              <w:t>壮美之路·共建家园</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rPr>
            </w:pPr>
            <w:r>
              <w:rPr>
                <w:rFonts w:hint="eastAsia" w:ascii="仿宋" w:hAnsi="仿宋" w:eastAsia="仿宋" w:cs="仿宋"/>
                <w:bCs w:val="0"/>
                <w:color w:val="000000"/>
                <w:sz w:val="21"/>
                <w:szCs w:val="15"/>
              </w:rPr>
              <w:t>重大主题报道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color w:val="000000"/>
                <w:sz w:val="21"/>
                <w:szCs w:val="15"/>
              </w:rPr>
              <w:t>15:58</w:t>
            </w:r>
            <w:r>
              <w:rPr>
                <w:rFonts w:hint="eastAsia" w:ascii="仿宋" w:hAnsi="仿宋" w:eastAsia="仿宋" w:cs="仿宋"/>
                <w:color w:val="000000"/>
                <w:sz w:val="21"/>
                <w:szCs w:val="15"/>
                <w:lang w:eastAsia="zh-CN"/>
              </w:rPr>
              <w:t>；16:00；15:51</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auto"/>
                <w:sz w:val="28"/>
              </w:rPr>
              <w:t>体裁</w:t>
            </w:r>
          </w:p>
        </w:tc>
        <w:tc>
          <w:tcPr>
            <w:tcW w:w="3274" w:type="dxa"/>
            <w:gridSpan w:val="5"/>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lang w:val="en-US" w:eastAsia="zh-CN"/>
              </w:rPr>
              <w:t>系列报道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bCs w:val="0"/>
                <w:color w:val="000000"/>
                <w:sz w:val="21"/>
                <w:szCs w:val="15"/>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rPr>
            </w:pPr>
            <w:r>
              <w:rPr>
                <w:rFonts w:hint="eastAsia" w:ascii="仿宋" w:hAnsi="仿宋" w:eastAsia="仿宋" w:cs="仿宋"/>
                <w:color w:val="000000"/>
                <w:sz w:val="21"/>
                <w:szCs w:val="15"/>
                <w:lang w:eastAsia="zh-CN"/>
              </w:rPr>
              <w:t>徐宁刚、潘福波、易智锋、杨华、张琳、甘宁</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rPr>
              <w:t>刘尊、张敖、曹永</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spacing w:line="260" w:lineRule="exact"/>
              <w:ind w:firstLine="0"/>
              <w:rPr>
                <w:rFonts w:ascii="方正仿宋_GB2312" w:hAnsi="仿宋"/>
                <w:color w:val="000000"/>
                <w:szCs w:val="21"/>
              </w:rPr>
            </w:pPr>
            <w:r>
              <w:rPr>
                <w:rFonts w:hint="eastAsia" w:ascii="仿宋" w:hAnsi="仿宋" w:eastAsia="仿宋" w:cs="仿宋"/>
                <w:color w:val="000000"/>
                <w:sz w:val="21"/>
                <w:szCs w:val="15"/>
                <w:highlight w:val="none"/>
              </w:rPr>
              <w:t>广西广播电视台</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rPr>
            </w:pPr>
            <w:r>
              <w:rPr>
                <w:rFonts w:hint="eastAsia" w:ascii="仿宋" w:hAnsi="仿宋" w:eastAsia="仿宋" w:cs="仿宋"/>
                <w:color w:val="000000"/>
                <w:sz w:val="21"/>
                <w:szCs w:val="15"/>
                <w:highlight w:val="none"/>
              </w:rPr>
              <w:t>广西广播电视台</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spacing w:line="260" w:lineRule="exact"/>
              <w:rPr>
                <w:rFonts w:ascii="方正仿宋_GB2312" w:hAnsi="仿宋"/>
                <w:color w:val="000000"/>
                <w:szCs w:val="21"/>
              </w:rPr>
            </w:pPr>
            <w:r>
              <w:rPr>
                <w:rFonts w:hint="eastAsia" w:ascii="仿宋" w:hAnsi="仿宋" w:eastAsia="仿宋" w:cs="仿宋"/>
                <w:color w:val="000000"/>
                <w:sz w:val="21"/>
                <w:szCs w:val="15"/>
                <w:highlight w:val="none"/>
              </w:rPr>
              <w:t>《壮美之路·共建家园》</w:t>
            </w: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14:paraId="7A66C554">
            <w:pPr>
              <w:spacing w:line="260" w:lineRule="exact"/>
              <w:rPr>
                <w:rFonts w:hint="default" w:ascii="方正仿宋_GB2312" w:hAnsi="仿宋" w:eastAsia="仿宋"/>
                <w:color w:val="000000"/>
                <w:szCs w:val="21"/>
                <w:lang w:val="en-US" w:eastAsia="zh-CN"/>
              </w:rPr>
            </w:pPr>
            <w:r>
              <w:rPr>
                <w:rFonts w:hint="eastAsia" w:ascii="仿宋" w:hAnsi="仿宋" w:eastAsia="仿宋" w:cs="仿宋"/>
                <w:color w:val="000000"/>
                <w:sz w:val="21"/>
                <w:szCs w:val="15"/>
                <w:highlight w:val="none"/>
              </w:rPr>
              <w:t>2025年06月29日</w:t>
            </w:r>
            <w:r>
              <w:rPr>
                <w:rFonts w:hint="eastAsia" w:ascii="仿宋" w:hAnsi="仿宋" w:eastAsia="仿宋" w:cs="仿宋"/>
                <w:color w:val="000000"/>
                <w:sz w:val="21"/>
                <w:szCs w:val="15"/>
                <w:highlight w:val="none"/>
                <w:lang w:val="en-US" w:eastAsia="zh-CN"/>
              </w:rPr>
              <w:t>21：20至</w:t>
            </w:r>
            <w:r>
              <w:rPr>
                <w:rFonts w:hint="eastAsia" w:ascii="仿宋" w:hAnsi="仿宋" w:eastAsia="仿宋" w:cs="仿宋"/>
                <w:color w:val="000000"/>
                <w:sz w:val="21"/>
                <w:szCs w:val="15"/>
                <w:highlight w:val="none"/>
              </w:rPr>
              <w:t xml:space="preserve"> 2025年07月03日</w:t>
            </w:r>
            <w:r>
              <w:rPr>
                <w:rFonts w:hint="eastAsia" w:ascii="仿宋" w:hAnsi="仿宋" w:eastAsia="仿宋" w:cs="仿宋"/>
                <w:color w:val="000000"/>
                <w:sz w:val="21"/>
                <w:szCs w:val="15"/>
                <w:highlight w:val="none"/>
                <w:lang w:val="en-US" w:eastAsia="zh-CN"/>
              </w:rPr>
              <w:t>21:20</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14:paraId="78E7ED31">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fldChar w:fldCharType="begin"/>
            </w:r>
            <w:r>
              <w:rPr>
                <w:rFonts w:hint="eastAsia" w:ascii="仿宋" w:hAnsi="仿宋" w:eastAsia="仿宋" w:cs="仿宋"/>
                <w:color w:val="000000"/>
                <w:sz w:val="21"/>
                <w:szCs w:val="15"/>
              </w:rPr>
              <w:instrText xml:space="preserve"> HYPERLINK "https://vod.gxtv.cn/video/videoShow_425906daec0b490090ae95760c1ed6cb.html" </w:instrText>
            </w:r>
            <w:r>
              <w:rPr>
                <w:rFonts w:hint="eastAsia" w:ascii="仿宋" w:hAnsi="仿宋" w:eastAsia="仿宋" w:cs="仿宋"/>
                <w:color w:val="000000"/>
                <w:sz w:val="21"/>
                <w:szCs w:val="15"/>
              </w:rPr>
              <w:fldChar w:fldCharType="separate"/>
            </w:r>
            <w:r>
              <w:rPr>
                <w:rStyle w:val="7"/>
                <w:rFonts w:hint="eastAsia" w:ascii="仿宋" w:hAnsi="仿宋" w:eastAsia="仿宋" w:cs="仿宋"/>
                <w:sz w:val="21"/>
                <w:szCs w:val="15"/>
              </w:rPr>
              <w:t>https://vod.gxtv.cn/video/videoShow_425906daec0b490090ae95760c1ed6cb.html</w:t>
            </w:r>
            <w:r>
              <w:rPr>
                <w:rFonts w:hint="eastAsia" w:ascii="仿宋" w:hAnsi="仿宋" w:eastAsia="仿宋" w:cs="仿宋"/>
                <w:color w:val="000000"/>
                <w:sz w:val="21"/>
                <w:szCs w:val="15"/>
              </w:rPr>
              <w:fldChar w:fldCharType="end"/>
            </w:r>
          </w:p>
          <w:p w14:paraId="385776D7">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fldChar w:fldCharType="begin"/>
            </w:r>
            <w:r>
              <w:rPr>
                <w:rFonts w:hint="eastAsia" w:ascii="仿宋" w:hAnsi="仿宋" w:eastAsia="仿宋" w:cs="仿宋"/>
                <w:color w:val="000000"/>
                <w:sz w:val="21"/>
                <w:szCs w:val="15"/>
              </w:rPr>
              <w:instrText xml:space="preserve"> HYPERLINK "https://vod.gxtv.cn/video/videoShow_092fe3370aca44da82f988266582b77e.html" </w:instrText>
            </w:r>
            <w:r>
              <w:rPr>
                <w:rFonts w:hint="eastAsia" w:ascii="仿宋" w:hAnsi="仿宋" w:eastAsia="仿宋" w:cs="仿宋"/>
                <w:color w:val="000000"/>
                <w:sz w:val="21"/>
                <w:szCs w:val="15"/>
              </w:rPr>
              <w:fldChar w:fldCharType="separate"/>
            </w:r>
            <w:r>
              <w:rPr>
                <w:rStyle w:val="7"/>
                <w:rFonts w:hint="eastAsia" w:ascii="仿宋" w:hAnsi="仿宋" w:eastAsia="仿宋" w:cs="仿宋"/>
                <w:sz w:val="21"/>
                <w:szCs w:val="15"/>
              </w:rPr>
              <w:t>https://vod.gxtv.cn/video/videoShow_092fe3370aca44da82f988266582b77e.html</w:t>
            </w:r>
            <w:r>
              <w:rPr>
                <w:rFonts w:hint="eastAsia" w:ascii="仿宋" w:hAnsi="仿宋" w:eastAsia="仿宋" w:cs="仿宋"/>
                <w:color w:val="000000"/>
                <w:sz w:val="21"/>
                <w:szCs w:val="15"/>
              </w:rPr>
              <w:fldChar w:fldCharType="end"/>
            </w:r>
          </w:p>
          <w:p w14:paraId="748E8C49">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fldChar w:fldCharType="begin"/>
            </w:r>
            <w:r>
              <w:rPr>
                <w:rFonts w:hint="eastAsia" w:ascii="仿宋" w:hAnsi="仿宋" w:eastAsia="仿宋" w:cs="仿宋"/>
                <w:color w:val="000000"/>
                <w:sz w:val="21"/>
                <w:szCs w:val="15"/>
              </w:rPr>
              <w:instrText xml:space="preserve"> HYPERLINK "https://vod.gxtv.cn/video/videoShow_56a3eebc0e284264b39a611b79846f11.html" </w:instrText>
            </w:r>
            <w:r>
              <w:rPr>
                <w:rFonts w:hint="eastAsia" w:ascii="仿宋" w:hAnsi="仿宋" w:eastAsia="仿宋" w:cs="仿宋"/>
                <w:color w:val="000000"/>
                <w:sz w:val="21"/>
                <w:szCs w:val="15"/>
              </w:rPr>
              <w:fldChar w:fldCharType="separate"/>
            </w:r>
            <w:r>
              <w:rPr>
                <w:rStyle w:val="7"/>
                <w:rFonts w:hint="eastAsia" w:ascii="仿宋" w:hAnsi="仿宋" w:eastAsia="仿宋" w:cs="仿宋"/>
                <w:sz w:val="21"/>
                <w:szCs w:val="15"/>
              </w:rPr>
              <w:t>https://vod.gxtv.cn/video/videoShow_56a3eebc0e284264b39a611b79846f11.html</w:t>
            </w:r>
            <w:r>
              <w:rPr>
                <w:rFonts w:hint="eastAsia" w:ascii="仿宋" w:hAnsi="仿宋" w:eastAsia="仿宋" w:cs="仿宋"/>
                <w:color w:val="000000"/>
                <w:sz w:val="21"/>
                <w:szCs w:val="15"/>
              </w:rPr>
              <w:fldChar w:fldCharType="end"/>
            </w:r>
          </w:p>
        </w:tc>
        <w:tc>
          <w:tcPr>
            <w:tcW w:w="1742" w:type="dxa"/>
            <w:gridSpan w:val="4"/>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仿宋" w:hAnsi="仿宋" w:eastAsia="仿宋" w:cs="仿宋"/>
                <w:color w:val="000000"/>
                <w:sz w:val="21"/>
                <w:szCs w:val="15"/>
                <w:highlight w:val="none"/>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14:paraId="5DEABE25">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本节目以铸牢中华民族共同体意识为主线，深入贯彻习近平总书记关于民族工作的重要论述和对广西工作的系列重要指示要求，全景式呈现广西建设铸牢中华民族共同体意识示范区的创新实践与丰硕成果。</w:t>
            </w:r>
          </w:p>
          <w:p w14:paraId="515932C2">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创作上，节目注重理论奠基与实践印证深度融合。依托民族学、社会学、政治学等多学科权威专家智库，构建严谨扎实的理论框架，确保节目思想深度与政治高度；制作团队深入边关、口岸、村寨、社区，挖掘采访大量鲜活生动的基层实践案例，通过具体人物故事，真切诠释共同体意识的塑造历程与现实伟力。节目巧妙运用“宏观叙事”与“微观故事”交织并进的叙事策略，使深刻的理论阐释与感人的故事细节相互呼应、层层推进，实现了思想性、艺术性与传播力的有机统一。</w:t>
            </w:r>
          </w:p>
          <w:p w14:paraId="0C97B1AB">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节目策划精心、制作精良、解读精深，不仅是一堂全面系统梳理铸牢中华民族共同体意识理论内核的视频公开课，更是一部凝聚创建成效、推广经验的影像志。</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14:paraId="10EAC8E2">
            <w:pPr>
              <w:spacing w:line="280" w:lineRule="exact"/>
              <w:rPr>
                <w:rFonts w:hint="eastAsia" w:ascii="仿宋" w:hAnsi="仿宋" w:eastAsia="仿宋"/>
                <w:color w:val="000000"/>
                <w:szCs w:val="21"/>
              </w:rPr>
            </w:pPr>
            <w:r>
              <w:rPr>
                <w:rStyle w:val="7"/>
                <w:rFonts w:hint="eastAsia" w:ascii="仿宋" w:hAnsi="仿宋" w:eastAsia="仿宋" w:cs="仿宋"/>
                <w:color w:val="0000FF"/>
                <w:sz w:val="21"/>
                <w:szCs w:val="15"/>
              </w:rPr>
              <w:t>https://vod.gxtv.cn/video/videoShow_56a3eebc0e284264b39a611b79846f11.html</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205万</w:t>
            </w:r>
          </w:p>
        </w:tc>
        <w:tc>
          <w:tcPr>
            <w:tcW w:w="1005" w:type="dxa"/>
            <w:gridSpan w:val="2"/>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4.9万</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r>
              <w:rPr>
                <w:rFonts w:hint="eastAsia" w:ascii="仿宋" w:hAnsi="仿宋" w:eastAsia="仿宋"/>
                <w:color w:val="000000"/>
                <w:sz w:val="21"/>
                <w:szCs w:val="21"/>
              </w:rPr>
              <w:t>635万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2"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14:paraId="26DBC181">
            <w:pPr>
              <w:spacing w:after="160" w:line="288" w:lineRule="auto"/>
              <w:ind w:firstLine="398" w:firstLineChars="200"/>
              <w:jc w:val="left"/>
              <w:rPr>
                <w:rFonts w:hint="eastAsia" w:ascii="仿宋" w:hAnsi="仿宋" w:eastAsia="仿宋"/>
                <w:color w:val="000000"/>
                <w:w w:val="95"/>
                <w:sz w:val="21"/>
                <w:szCs w:val="21"/>
              </w:rPr>
            </w:pPr>
            <w:r>
              <w:rPr>
                <w:rFonts w:hint="eastAsia" w:ascii="仿宋" w:hAnsi="仿宋" w:eastAsia="仿宋"/>
                <w:color w:val="000000"/>
                <w:w w:val="95"/>
                <w:sz w:val="21"/>
                <w:szCs w:val="21"/>
              </w:rPr>
              <w:t>《壮美之路·共建家园》主题宏大、制作精良、叙事策略成熟、艺术表现丰富。它运用多元化的视听手段和丰富的典型人物故事，生动展现了广西在建设共有精神家园、推进共同富裕、促进民族团结、守护绿水青山、维护边疆稳定等方面的卓越实践和辉煌成就，为铸牢中华民族共同体意识主题宣传提供了优秀范例，也为新时代边疆民族地区如何实现高质量发展提供了可资借鉴的现实样本，具有较高的思想价值、社会价值与艺术价值。</w:t>
            </w:r>
          </w:p>
          <w:p w14:paraId="31875D0E">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109BF00">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14:paraId="427B2E60">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14:paraId="4F63C3D5">
            <w:pPr>
              <w:widowControl w:val="0"/>
              <w:spacing w:line="240" w:lineRule="exact"/>
              <w:jc w:val="both"/>
              <w:rPr>
                <w:rFonts w:hint="default" w:ascii="华文中宋" w:hAnsi="华文中宋" w:eastAsia="华文中宋"/>
                <w:sz w:val="28"/>
                <w:szCs w:val="28"/>
                <w:lang w:val="en-US" w:eastAsia="zh-CN"/>
              </w:rPr>
            </w:pPr>
            <w:r>
              <w:rPr>
                <w:rFonts w:hint="eastAsia" w:ascii="仿宋" w:hAnsi="仿宋" w:eastAsia="仿宋"/>
                <w:color w:val="000000"/>
                <w:w w:val="95"/>
                <w:sz w:val="21"/>
                <w:szCs w:val="21"/>
                <w:lang w:val="en-US" w:eastAsia="zh-CN"/>
              </w:rPr>
              <w:t>广西新闻宣传奖（2025年度）一等奖</w:t>
            </w: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widowControl w:val="0"/>
              <w:spacing w:line="360" w:lineRule="exact"/>
              <w:jc w:val="center"/>
              <w:rPr>
                <w:rFonts w:hint="eastAsia" w:ascii="华文中宋" w:hAnsi="华文中宋" w:eastAsia="华文中宋"/>
                <w:color w:val="auto"/>
                <w:sz w:val="28"/>
                <w:szCs w:val="28"/>
              </w:rPr>
            </w:pPr>
            <w:r>
              <w:rPr>
                <w:rFonts w:hint="eastAsia" w:ascii="华文中宋" w:hAnsi="华文中宋" w:eastAsia="华文中宋"/>
                <w:color w:val="auto"/>
                <w:sz w:val="28"/>
                <w:szCs w:val="28"/>
              </w:rPr>
              <w:t>推</w:t>
            </w:r>
          </w:p>
          <w:p w14:paraId="4AD22A4F">
            <w:pPr>
              <w:widowControl w:val="0"/>
              <w:spacing w:line="360" w:lineRule="exact"/>
              <w:jc w:val="center"/>
              <w:rPr>
                <w:rFonts w:hint="eastAsia" w:ascii="华文中宋" w:hAnsi="华文中宋" w:eastAsia="华文中宋"/>
                <w:color w:val="auto"/>
                <w:sz w:val="28"/>
                <w:szCs w:val="28"/>
              </w:rPr>
            </w:pPr>
            <w:r>
              <w:rPr>
                <w:rFonts w:hint="eastAsia" w:ascii="华文中宋" w:hAnsi="华文中宋" w:eastAsia="华文中宋"/>
                <w:color w:val="auto"/>
                <w:sz w:val="28"/>
                <w:szCs w:val="28"/>
              </w:rPr>
              <w:t>荐</w:t>
            </w:r>
          </w:p>
          <w:p w14:paraId="11685204">
            <w:pPr>
              <w:widowControl w:val="0"/>
              <w:spacing w:line="360" w:lineRule="exact"/>
              <w:jc w:val="center"/>
              <w:rPr>
                <w:rFonts w:hint="eastAsia" w:ascii="华文中宋" w:hAnsi="华文中宋" w:eastAsia="华文中宋"/>
                <w:color w:val="auto"/>
                <w:sz w:val="28"/>
                <w:szCs w:val="28"/>
              </w:rPr>
            </w:pPr>
            <w:r>
              <w:rPr>
                <w:rFonts w:hint="eastAsia" w:ascii="华文中宋" w:hAnsi="华文中宋" w:eastAsia="华文中宋"/>
                <w:color w:val="auto"/>
                <w:sz w:val="28"/>
                <w:szCs w:val="28"/>
              </w:rPr>
              <w:t>人</w:t>
            </w:r>
          </w:p>
        </w:tc>
        <w:tc>
          <w:tcPr>
            <w:tcW w:w="893" w:type="dxa"/>
            <w:gridSpan w:val="3"/>
            <w:tcBorders>
              <w:tl2br w:val="nil"/>
              <w:tr2bl w:val="nil"/>
            </w:tcBorders>
            <w:noWrap w:val="0"/>
            <w:vAlign w:val="center"/>
          </w:tcPr>
          <w:p w14:paraId="104D06A6">
            <w:pPr>
              <w:widowControl w:val="0"/>
              <w:spacing w:line="320" w:lineRule="exact"/>
              <w:jc w:val="center"/>
              <w:rPr>
                <w:rFonts w:hint="eastAsia" w:ascii="华文中宋" w:hAnsi="华文中宋" w:eastAsia="华文中宋"/>
                <w:color w:val="auto"/>
                <w:sz w:val="28"/>
                <w:szCs w:val="28"/>
              </w:rPr>
            </w:pPr>
            <w:r>
              <w:rPr>
                <w:rFonts w:hint="eastAsia" w:ascii="华文中宋" w:hAnsi="华文中宋" w:eastAsia="华文中宋" w:cs="华文中宋"/>
                <w:color w:val="auto"/>
                <w:sz w:val="28"/>
                <w:lang w:bidi="ar"/>
              </w:rPr>
              <w:t>姓名</w:t>
            </w:r>
          </w:p>
        </w:tc>
        <w:tc>
          <w:tcPr>
            <w:tcW w:w="1368" w:type="dxa"/>
            <w:gridSpan w:val="2"/>
            <w:tcBorders>
              <w:tl2br w:val="nil"/>
              <w:tr2bl w:val="nil"/>
            </w:tcBorders>
            <w:noWrap w:val="0"/>
            <w:vAlign w:val="center"/>
          </w:tcPr>
          <w:p w14:paraId="1F64E220">
            <w:pPr>
              <w:widowControl w:val="0"/>
              <w:spacing w:line="240" w:lineRule="exact"/>
              <w:jc w:val="center"/>
              <w:rPr>
                <w:rFonts w:hint="default" w:ascii="华文中宋" w:hAnsi="华文中宋" w:eastAsia="华文中宋"/>
                <w:color w:val="auto"/>
                <w:sz w:val="28"/>
                <w:szCs w:val="28"/>
                <w:lang w:val="en-US" w:eastAsia="zh-CN"/>
              </w:rPr>
            </w:pPr>
            <w:r>
              <w:rPr>
                <w:rFonts w:hint="eastAsia" w:ascii="华文中宋" w:hAnsi="华文中宋" w:eastAsia="华文中宋"/>
                <w:color w:val="auto"/>
                <w:sz w:val="28"/>
                <w:szCs w:val="28"/>
                <w:lang w:val="en-US" w:eastAsia="zh-CN"/>
              </w:rPr>
              <w:t>蒋维</w:t>
            </w:r>
          </w:p>
        </w:tc>
        <w:tc>
          <w:tcPr>
            <w:tcW w:w="1176" w:type="dxa"/>
            <w:gridSpan w:val="2"/>
            <w:tcBorders>
              <w:tl2br w:val="nil"/>
              <w:tr2bl w:val="nil"/>
            </w:tcBorders>
            <w:noWrap w:val="0"/>
            <w:vAlign w:val="center"/>
          </w:tcPr>
          <w:p w14:paraId="5CA19914">
            <w:pPr>
              <w:widowControl w:val="0"/>
              <w:spacing w:line="340" w:lineRule="exact"/>
              <w:jc w:val="center"/>
              <w:rPr>
                <w:rFonts w:hint="eastAsia" w:ascii="华文中宋" w:hAnsi="华文中宋" w:eastAsia="华文中宋"/>
                <w:color w:val="auto"/>
                <w:sz w:val="28"/>
                <w:szCs w:val="28"/>
              </w:rPr>
            </w:pPr>
            <w:r>
              <w:rPr>
                <w:rFonts w:hint="eastAsia" w:ascii="华文中宋" w:hAnsi="华文中宋" w:eastAsia="华文中宋" w:cs="华文中宋"/>
                <w:color w:val="auto"/>
                <w:sz w:val="28"/>
                <w:lang w:bidi="ar"/>
              </w:rPr>
              <w:t>单位及职称</w:t>
            </w:r>
          </w:p>
        </w:tc>
        <w:tc>
          <w:tcPr>
            <w:tcW w:w="2059" w:type="dxa"/>
            <w:gridSpan w:val="4"/>
            <w:tcBorders>
              <w:tl2br w:val="nil"/>
              <w:tr2bl w:val="nil"/>
            </w:tcBorders>
            <w:noWrap w:val="0"/>
            <w:vAlign w:val="center"/>
          </w:tcPr>
          <w:p w14:paraId="587A5B47">
            <w:pPr>
              <w:widowControl w:val="0"/>
              <w:spacing w:line="240" w:lineRule="exact"/>
              <w:jc w:val="center"/>
              <w:rPr>
                <w:rFonts w:hint="default" w:ascii="华文中宋" w:hAnsi="华文中宋" w:eastAsia="华文中宋"/>
                <w:color w:val="auto"/>
                <w:sz w:val="28"/>
                <w:szCs w:val="28"/>
                <w:lang w:val="en-US" w:eastAsia="zh-CN"/>
              </w:rPr>
            </w:pPr>
            <w:r>
              <w:rPr>
                <w:rFonts w:hint="eastAsia" w:ascii="华文中宋" w:hAnsi="华文中宋" w:eastAsia="华文中宋"/>
                <w:color w:val="auto"/>
                <w:sz w:val="28"/>
                <w:szCs w:val="28"/>
                <w:lang w:val="en-US" w:eastAsia="zh-CN"/>
              </w:rPr>
              <w:t>广西广播电视台高级编辑</w:t>
            </w:r>
          </w:p>
        </w:tc>
        <w:tc>
          <w:tcPr>
            <w:tcW w:w="874" w:type="dxa"/>
            <w:gridSpan w:val="2"/>
            <w:tcBorders>
              <w:tl2br w:val="nil"/>
              <w:tr2bl w:val="nil"/>
            </w:tcBorders>
            <w:noWrap w:val="0"/>
            <w:vAlign w:val="center"/>
          </w:tcPr>
          <w:p w14:paraId="6F7360F0">
            <w:pPr>
              <w:widowControl w:val="0"/>
              <w:spacing w:line="340" w:lineRule="exact"/>
              <w:jc w:val="center"/>
              <w:rPr>
                <w:rFonts w:hint="eastAsia" w:ascii="华文中宋" w:hAnsi="华文中宋" w:eastAsia="华文中宋"/>
                <w:color w:val="auto"/>
                <w:sz w:val="28"/>
                <w:szCs w:val="28"/>
              </w:rPr>
            </w:pPr>
            <w:r>
              <w:rPr>
                <w:rFonts w:hint="eastAsia" w:ascii="华文中宋" w:hAnsi="华文中宋" w:eastAsia="华文中宋" w:cs="华文中宋"/>
                <w:color w:val="auto"/>
                <w:sz w:val="28"/>
                <w:lang w:bidi="ar"/>
              </w:rPr>
              <w:t>电话</w:t>
            </w:r>
          </w:p>
        </w:tc>
        <w:tc>
          <w:tcPr>
            <w:tcW w:w="2203" w:type="dxa"/>
            <w:gridSpan w:val="2"/>
            <w:tcBorders>
              <w:tl2br w:val="nil"/>
              <w:tr2bl w:val="nil"/>
            </w:tcBorders>
            <w:noWrap w:val="0"/>
            <w:vAlign w:val="center"/>
          </w:tcPr>
          <w:p w14:paraId="2624E1CB">
            <w:pPr>
              <w:widowControl w:val="0"/>
              <w:spacing w:line="240" w:lineRule="exact"/>
              <w:jc w:val="both"/>
              <w:rPr>
                <w:rFonts w:hint="default" w:ascii="华文中宋" w:hAnsi="华文中宋" w:eastAsia="华文中宋"/>
                <w:color w:val="auto"/>
                <w:sz w:val="28"/>
                <w:szCs w:val="28"/>
                <w:lang w:val="en-US" w:eastAsia="zh-CN"/>
              </w:rPr>
            </w:pPr>
            <w:r>
              <w:rPr>
                <w:rFonts w:hint="eastAsia" w:ascii="华文中宋" w:hAnsi="华文中宋" w:eastAsia="华文中宋"/>
                <w:color w:val="auto"/>
                <w:sz w:val="28"/>
                <w:szCs w:val="28"/>
                <w:lang w:val="en-US" w:eastAsia="zh-CN"/>
              </w:rPr>
              <w:t>13878185888</w:t>
            </w: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widowControl w:val="0"/>
              <w:autoSpaceDE w:val="0"/>
              <w:autoSpaceDN w:val="0"/>
              <w:adjustRightInd w:val="0"/>
              <w:spacing w:line="240" w:lineRule="exact"/>
              <w:jc w:val="both"/>
              <w:rPr>
                <w:color w:val="auto"/>
              </w:rPr>
            </w:pPr>
          </w:p>
        </w:tc>
        <w:tc>
          <w:tcPr>
            <w:tcW w:w="893" w:type="dxa"/>
            <w:gridSpan w:val="3"/>
            <w:tcBorders>
              <w:tl2br w:val="nil"/>
              <w:tr2bl w:val="nil"/>
            </w:tcBorders>
            <w:noWrap w:val="0"/>
            <w:vAlign w:val="center"/>
          </w:tcPr>
          <w:p w14:paraId="7F47AA15">
            <w:pPr>
              <w:widowControl w:val="0"/>
              <w:spacing w:line="320" w:lineRule="exact"/>
              <w:jc w:val="center"/>
              <w:rPr>
                <w:color w:val="auto"/>
              </w:rPr>
            </w:pPr>
            <w:r>
              <w:rPr>
                <w:rFonts w:hint="eastAsia" w:ascii="华文中宋" w:hAnsi="华文中宋" w:eastAsia="华文中宋" w:cs="华文中宋"/>
                <w:color w:val="auto"/>
                <w:sz w:val="28"/>
                <w:lang w:bidi="ar"/>
              </w:rPr>
              <w:t>姓名</w:t>
            </w:r>
          </w:p>
        </w:tc>
        <w:tc>
          <w:tcPr>
            <w:tcW w:w="1368" w:type="dxa"/>
            <w:gridSpan w:val="2"/>
            <w:tcBorders>
              <w:tl2br w:val="nil"/>
              <w:tr2bl w:val="nil"/>
            </w:tcBorders>
            <w:noWrap w:val="0"/>
            <w:vAlign w:val="center"/>
          </w:tcPr>
          <w:p w14:paraId="74FA93DB">
            <w:pPr>
              <w:widowControl w:val="0"/>
              <w:spacing w:line="240" w:lineRule="exact"/>
              <w:jc w:val="center"/>
              <w:rPr>
                <w:rFonts w:hint="eastAsia" w:eastAsia="方正仿宋_GB2312"/>
                <w:color w:val="auto"/>
                <w:lang w:val="en-US" w:eastAsia="zh-CN"/>
              </w:rPr>
            </w:pPr>
            <w:r>
              <w:rPr>
                <w:rFonts w:hint="eastAsia" w:ascii="华文中宋" w:hAnsi="华文中宋" w:eastAsia="华文中宋"/>
                <w:color w:val="auto"/>
                <w:sz w:val="28"/>
                <w:szCs w:val="28"/>
                <w:lang w:val="en-US" w:eastAsia="zh-CN"/>
              </w:rPr>
              <w:t>刘佳</w:t>
            </w:r>
          </w:p>
        </w:tc>
        <w:tc>
          <w:tcPr>
            <w:tcW w:w="1176" w:type="dxa"/>
            <w:gridSpan w:val="2"/>
            <w:tcBorders>
              <w:tl2br w:val="nil"/>
              <w:tr2bl w:val="nil"/>
            </w:tcBorders>
            <w:noWrap w:val="0"/>
            <w:vAlign w:val="center"/>
          </w:tcPr>
          <w:p w14:paraId="6F2C4C95">
            <w:pPr>
              <w:widowControl w:val="0"/>
              <w:spacing w:line="340" w:lineRule="exact"/>
              <w:jc w:val="center"/>
              <w:rPr>
                <w:color w:val="auto"/>
              </w:rPr>
            </w:pPr>
            <w:r>
              <w:rPr>
                <w:rFonts w:hint="eastAsia" w:ascii="华文中宋" w:hAnsi="华文中宋" w:eastAsia="华文中宋" w:cs="华文中宋"/>
                <w:color w:val="auto"/>
                <w:sz w:val="28"/>
                <w:lang w:bidi="ar"/>
              </w:rPr>
              <w:t>单位及职称</w:t>
            </w:r>
          </w:p>
        </w:tc>
        <w:tc>
          <w:tcPr>
            <w:tcW w:w="2059" w:type="dxa"/>
            <w:gridSpan w:val="4"/>
            <w:tcBorders>
              <w:tl2br w:val="nil"/>
              <w:tr2bl w:val="nil"/>
            </w:tcBorders>
            <w:noWrap w:val="0"/>
            <w:vAlign w:val="center"/>
          </w:tcPr>
          <w:p w14:paraId="404BD75A">
            <w:pPr>
              <w:widowControl w:val="0"/>
              <w:spacing w:line="340" w:lineRule="exact"/>
              <w:jc w:val="center"/>
              <w:rPr>
                <w:color w:val="auto"/>
              </w:rPr>
            </w:pPr>
            <w:r>
              <w:rPr>
                <w:rFonts w:hint="eastAsia" w:ascii="华文中宋" w:hAnsi="华文中宋" w:eastAsia="华文中宋"/>
                <w:color w:val="auto"/>
                <w:sz w:val="28"/>
                <w:szCs w:val="28"/>
                <w:lang w:val="en-US" w:eastAsia="zh-CN"/>
              </w:rPr>
              <w:t>广西广播电视台高级记者</w:t>
            </w:r>
          </w:p>
        </w:tc>
        <w:tc>
          <w:tcPr>
            <w:tcW w:w="874" w:type="dxa"/>
            <w:gridSpan w:val="2"/>
            <w:tcBorders>
              <w:tl2br w:val="nil"/>
              <w:tr2bl w:val="nil"/>
            </w:tcBorders>
            <w:noWrap w:val="0"/>
            <w:vAlign w:val="center"/>
          </w:tcPr>
          <w:p w14:paraId="041A6DC3">
            <w:pPr>
              <w:widowControl w:val="0"/>
              <w:spacing w:line="340" w:lineRule="exact"/>
              <w:jc w:val="center"/>
              <w:rPr>
                <w:color w:val="auto"/>
              </w:rPr>
            </w:pPr>
            <w:r>
              <w:rPr>
                <w:rFonts w:hint="eastAsia" w:ascii="华文中宋" w:hAnsi="华文中宋" w:eastAsia="华文中宋" w:cs="华文中宋"/>
                <w:color w:val="auto"/>
                <w:sz w:val="28"/>
                <w:lang w:bidi="ar"/>
              </w:rPr>
              <w:t>电话</w:t>
            </w:r>
          </w:p>
        </w:tc>
        <w:tc>
          <w:tcPr>
            <w:tcW w:w="2203" w:type="dxa"/>
            <w:gridSpan w:val="2"/>
            <w:tcBorders>
              <w:tl2br w:val="nil"/>
              <w:tr2bl w:val="nil"/>
            </w:tcBorders>
            <w:noWrap w:val="0"/>
            <w:vAlign w:val="center"/>
          </w:tcPr>
          <w:p w14:paraId="204C0D23">
            <w:pPr>
              <w:widowControl w:val="0"/>
              <w:spacing w:line="240" w:lineRule="exact"/>
              <w:jc w:val="both"/>
              <w:rPr>
                <w:rFonts w:hint="default" w:ascii="华文中宋" w:hAnsi="华文中宋" w:eastAsia="华文中宋"/>
                <w:color w:val="auto"/>
                <w:sz w:val="28"/>
                <w:szCs w:val="28"/>
                <w:lang w:val="en-US" w:eastAsia="zh-CN"/>
              </w:rPr>
            </w:pPr>
            <w:r>
              <w:rPr>
                <w:rFonts w:hint="eastAsia" w:ascii="华文中宋" w:hAnsi="华文中宋" w:eastAsia="华文中宋"/>
                <w:color w:val="auto"/>
                <w:sz w:val="28"/>
                <w:szCs w:val="28"/>
                <w:lang w:val="en-US" w:eastAsia="zh-CN"/>
              </w:rPr>
              <w:t>13807719763</w:t>
            </w: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潘福波</w:t>
            </w: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default"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13507880099</w:t>
            </w: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bookmarkStart w:id="0" w:name="_GoBack"/>
            <w:bookmarkEnd w:id="0"/>
          </w:p>
          <w:p w14:paraId="0BF4E2D0">
            <w:pPr>
              <w:spacing w:line="240" w:lineRule="exact"/>
              <w:rPr>
                <w:rFonts w:hint="eastAsia" w:ascii="仿宋" w:hAnsi="仿宋" w:eastAsia="仿宋"/>
                <w:b/>
                <w:color w:val="000000"/>
                <w:szCs w:val="21"/>
              </w:rPr>
            </w:pPr>
          </w:p>
          <w:p w14:paraId="20636083">
            <w:pPr>
              <w:ind w:firstLine="560" w:firstLineChars="200"/>
              <w:rPr>
                <w:rFonts w:ascii="方正仿宋_GB2312" w:hAnsi="仿宋"/>
                <w:color w:val="000000"/>
                <w:sz w:val="28"/>
                <w:szCs w:val="28"/>
              </w:rPr>
            </w:pPr>
            <w:r>
              <w:rPr>
                <w:rFonts w:hint="eastAsia" w:ascii="方正仿宋_GB2312" w:hAnsi="仿宋"/>
                <w:color w:val="000000"/>
                <w:sz w:val="28"/>
                <w:szCs w:val="28"/>
                <w:lang w:val="en-US" w:eastAsia="zh-CN"/>
              </w:rPr>
              <w:t>同意《壮美之路·共建家园》作品参评第36届中国新闻奖。</w:t>
            </w:r>
          </w:p>
          <w:p w14:paraId="4C3B7949">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pPr>
        <w:rPr>
          <w:rFonts w:hint="eastAsia"/>
        </w:rPr>
      </w:pPr>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3"/>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23C0E"/>
    <w:rsid w:val="0B1F2F4E"/>
    <w:rsid w:val="103E4A53"/>
    <w:rsid w:val="12E84200"/>
    <w:rsid w:val="155142DE"/>
    <w:rsid w:val="22E5340C"/>
    <w:rsid w:val="25AC730F"/>
    <w:rsid w:val="277125BE"/>
    <w:rsid w:val="291819B2"/>
    <w:rsid w:val="2B2A31B0"/>
    <w:rsid w:val="2BB1562E"/>
    <w:rsid w:val="32313075"/>
    <w:rsid w:val="33363900"/>
    <w:rsid w:val="3D073351"/>
    <w:rsid w:val="4CA94913"/>
    <w:rsid w:val="4E1F4272"/>
    <w:rsid w:val="4F4026F2"/>
    <w:rsid w:val="5D250E1A"/>
    <w:rsid w:val="5E5F55C3"/>
    <w:rsid w:val="637B1AF3"/>
    <w:rsid w:val="652D0802"/>
    <w:rsid w:val="66BE2423"/>
    <w:rsid w:val="695D5F23"/>
    <w:rsid w:val="6B2111D2"/>
    <w:rsid w:val="6CDB5115"/>
    <w:rsid w:val="6DDE33AA"/>
    <w:rsid w:val="6E0D5256"/>
    <w:rsid w:val="70CD2B43"/>
    <w:rsid w:val="736305DA"/>
    <w:rsid w:val="73F26870"/>
    <w:rsid w:val="7D99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975</Words>
  <Characters>1341</Characters>
  <Lines>0</Lines>
  <Paragraphs>0</Paragraphs>
  <TotalTime>0</TotalTime>
  <ScaleCrop>false</ScaleCrop>
  <LinksUpToDate>false</LinksUpToDate>
  <CharactersWithSpaces>1485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蒋丽君</cp:lastModifiedBy>
  <dcterms:modified xsi:type="dcterms:W3CDTF">2026-05-11T07:03:20Z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eyJoZGlkIjoiYTM3MzM4NjgyY2Y2OTBjYjhkNDJlOGZlZTAzODcyYzQiLCJ1c2VySWQiOiI0MzQ1MDIwMzkifQ==</vt:lpwstr>
  </property>
  <property fmtid="{D5CDD505-2E9C-101B-9397-08002B2CF9AE}" pid="4" name="ICV">
    <vt:lpwstr>5686A64EBD7C4E66A926BE25866AFE15_13</vt:lpwstr>
  </property>
</Properties>
</file>